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66165" w:rsidRPr="00A66165" w:rsidRDefault="00C3769E" w:rsidP="00A66165">
      <w:pPr>
        <w:jc w:val="center"/>
        <w:rPr>
          <w:b/>
        </w:rPr>
      </w:pPr>
      <w:r>
        <w:rPr>
          <w:b/>
        </w:rPr>
        <w:t>Практическое занятие № 2</w:t>
      </w:r>
    </w:p>
    <w:p w:rsidR="00A66165" w:rsidRDefault="00A66165" w:rsidP="00A66165">
      <w:pPr>
        <w:jc w:val="center"/>
      </w:pPr>
    </w:p>
    <w:p w:rsidR="006B60A1" w:rsidRPr="00C3769E" w:rsidRDefault="00C3769E" w:rsidP="00A66165">
      <w:pPr>
        <w:jc w:val="center"/>
        <w:rPr>
          <w:b/>
        </w:rPr>
      </w:pPr>
      <w:r w:rsidRPr="00C3769E">
        <w:rPr>
          <w:b/>
        </w:rPr>
        <w:t xml:space="preserve">«Расчет </w:t>
      </w:r>
      <w:proofErr w:type="spellStart"/>
      <w:r w:rsidRPr="00C3769E">
        <w:rPr>
          <w:b/>
        </w:rPr>
        <w:t>молниезащиты</w:t>
      </w:r>
      <w:proofErr w:type="spellEnd"/>
      <w:r w:rsidRPr="00C3769E">
        <w:rPr>
          <w:b/>
        </w:rPr>
        <w:t xml:space="preserve"> зданий и сооружений»</w:t>
      </w:r>
    </w:p>
    <w:p w:rsidR="00A66165" w:rsidRDefault="00A66165"/>
    <w:p w:rsidR="00A66165" w:rsidRPr="00A66165" w:rsidRDefault="00A66165" w:rsidP="00A66165">
      <w:r w:rsidRPr="00A66165">
        <w:rPr>
          <w:b/>
        </w:rPr>
        <w:t xml:space="preserve">Цель </w:t>
      </w:r>
      <w:r w:rsidR="00C3769E">
        <w:rPr>
          <w:b/>
        </w:rPr>
        <w:t>работы</w:t>
      </w:r>
      <w:r w:rsidR="00C3769E">
        <w:t>:</w:t>
      </w:r>
    </w:p>
    <w:p w:rsidR="00C3769E" w:rsidRDefault="00C3769E" w:rsidP="00C3769E">
      <w:r>
        <w:t xml:space="preserve">- ознакомиться с требованиями, предъявляемыми к </w:t>
      </w:r>
      <w:proofErr w:type="spellStart"/>
      <w:r>
        <w:t>молниезащиты</w:t>
      </w:r>
      <w:proofErr w:type="spellEnd"/>
      <w:r>
        <w:t xml:space="preserve"> зданий и сооружений, согласно РД 34.21.122-87;</w:t>
      </w:r>
    </w:p>
    <w:p w:rsidR="00A66165" w:rsidRPr="00A66165" w:rsidRDefault="00C3769E" w:rsidP="00C3769E">
      <w:r>
        <w:t xml:space="preserve">- научиться производить расчет </w:t>
      </w:r>
      <w:proofErr w:type="spellStart"/>
      <w:r>
        <w:t>молниезащиты</w:t>
      </w:r>
      <w:proofErr w:type="spellEnd"/>
      <w:r>
        <w:t xml:space="preserve"> объектов.</w:t>
      </w:r>
    </w:p>
    <w:p w:rsidR="00A66165" w:rsidRDefault="00A66165"/>
    <w:p w:rsidR="00A66165" w:rsidRDefault="00C3769E">
      <w:r>
        <w:rPr>
          <w:b/>
        </w:rPr>
        <w:t>Методика</w:t>
      </w:r>
      <w:r w:rsidR="00E6312D" w:rsidRPr="00E6312D">
        <w:rPr>
          <w:b/>
        </w:rPr>
        <w:t xml:space="preserve"> выполнения работы</w:t>
      </w:r>
      <w:r w:rsidR="00E6312D">
        <w:t>.</w:t>
      </w:r>
    </w:p>
    <w:p w:rsidR="00C3769E" w:rsidRDefault="00C3769E" w:rsidP="00C3769E">
      <w:r>
        <w:t>1. Получив у преподавателя дополнительные данные (характеристику объекта и его месторасположение</w:t>
      </w:r>
      <w:r w:rsidRPr="00EF22D2">
        <w:t xml:space="preserve"> </w:t>
      </w:r>
      <w:r>
        <w:t xml:space="preserve">согласно </w:t>
      </w:r>
      <w:proofErr w:type="gramStart"/>
      <w:r>
        <w:t>варианту</w:t>
      </w:r>
      <w:proofErr w:type="gramEnd"/>
      <w:r>
        <w:t xml:space="preserve"> таблица 3) провести расчет ожидаемого количества поражений.</w:t>
      </w:r>
    </w:p>
    <w:p w:rsidR="00C3769E" w:rsidRDefault="00C3769E" w:rsidP="00C3769E">
      <w:r>
        <w:t xml:space="preserve">2. Определить тип зоны и категорию </w:t>
      </w:r>
      <w:proofErr w:type="spellStart"/>
      <w:r>
        <w:t>молниезащиты</w:t>
      </w:r>
      <w:proofErr w:type="spellEnd"/>
      <w:r>
        <w:t xml:space="preserve"> объекта согласно табл. 2.</w:t>
      </w:r>
    </w:p>
    <w:p w:rsidR="00C3769E" w:rsidRDefault="00C3769E" w:rsidP="00C3769E">
      <w:r>
        <w:t xml:space="preserve">3. Выбрать и обосновать вариант </w:t>
      </w:r>
      <w:proofErr w:type="spellStart"/>
      <w:r>
        <w:t>молниезащиты</w:t>
      </w:r>
      <w:proofErr w:type="spellEnd"/>
      <w:r>
        <w:t xml:space="preserve"> (тип молниеотвода, количество и месторасположение).</w:t>
      </w:r>
    </w:p>
    <w:p w:rsidR="00C3769E" w:rsidRDefault="00C3769E" w:rsidP="00C3769E">
      <w:r>
        <w:t xml:space="preserve">4. Рассчитать высоту молниеотвода, выбрав нужную формулу (из общих сведений) исходя из принятой системы </w:t>
      </w:r>
      <w:proofErr w:type="spellStart"/>
      <w:r>
        <w:t>молниезащиты</w:t>
      </w:r>
      <w:proofErr w:type="spellEnd"/>
      <w:r>
        <w:t xml:space="preserve"> и типа зоны, для чего необходимо задаться координатами расчетной точки: </w:t>
      </w:r>
      <w:proofErr w:type="spellStart"/>
      <w:r w:rsidRPr="00C3769E">
        <w:t>rх</w:t>
      </w:r>
      <w:proofErr w:type="spellEnd"/>
      <w:r>
        <w:t xml:space="preserve"> – радиус защиты – расстояние от молниеотвода до этой точки и </w:t>
      </w:r>
      <w:proofErr w:type="spellStart"/>
      <w:r w:rsidRPr="00C3769E">
        <w:t>hх</w:t>
      </w:r>
      <w:proofErr w:type="spellEnd"/>
      <w:r>
        <w:t xml:space="preserve"> – высота этой точки о поверхности земли. За расчетную точку следует принимать или наиболее высокую точку здания или наиболее удаленную от молниеотвода – если здание невысокое и длинное.</w:t>
      </w:r>
    </w:p>
    <w:p w:rsidR="00A66165" w:rsidRDefault="00C3769E" w:rsidP="00C3769E">
      <w:r>
        <w:t>5. Провести графическое построение зоны защиты молниеотвода рассчитанной высоты. Зона защиты строится на плане защищаемого объекта. План объекта и зона защиты строятся в одинаковом масштабе.</w:t>
      </w:r>
    </w:p>
    <w:p w:rsidR="00F34F41" w:rsidRDefault="00F34F41"/>
    <w:p w:rsidR="00245C8F" w:rsidRDefault="00245C8F">
      <w:r w:rsidRPr="00245C8F">
        <w:rPr>
          <w:b/>
        </w:rPr>
        <w:t>Ход работы</w:t>
      </w:r>
      <w:r>
        <w:t>.</w:t>
      </w:r>
    </w:p>
    <w:p w:rsidR="00245C8F" w:rsidRDefault="00245C8F" w:rsidP="00245C8F">
      <w:r>
        <w:t>1. Исходные данные</w:t>
      </w:r>
      <w:r w:rsidR="00E61AF1">
        <w:t xml:space="preserve"> (вариант 3).</w:t>
      </w:r>
    </w:p>
    <w:p w:rsidR="00245C8F" w:rsidRDefault="00245C8F"/>
    <w:tbl>
      <w:tblPr>
        <w:tblW w:w="9614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10"/>
        <w:gridCol w:w="2934"/>
        <w:gridCol w:w="2935"/>
        <w:gridCol w:w="2935"/>
      </w:tblGrid>
      <w:tr w:rsidR="00245C8F" w:rsidRPr="007E48A7" w:rsidTr="00245C8F">
        <w:tc>
          <w:tcPr>
            <w:tcW w:w="810" w:type="dxa"/>
            <w:vAlign w:val="center"/>
          </w:tcPr>
          <w:p w:rsidR="00245C8F" w:rsidRPr="00245C8F" w:rsidRDefault="00245C8F" w:rsidP="00245C8F">
            <w:pPr>
              <w:ind w:firstLine="0"/>
              <w:jc w:val="center"/>
            </w:pPr>
            <w:r w:rsidRPr="00245C8F">
              <w:t>№ п/п</w:t>
            </w:r>
          </w:p>
        </w:tc>
        <w:tc>
          <w:tcPr>
            <w:tcW w:w="2934" w:type="dxa"/>
            <w:vAlign w:val="center"/>
          </w:tcPr>
          <w:p w:rsidR="00245C8F" w:rsidRPr="00245C8F" w:rsidRDefault="00245C8F" w:rsidP="00245C8F">
            <w:pPr>
              <w:ind w:firstLine="0"/>
              <w:jc w:val="center"/>
            </w:pPr>
            <w:r w:rsidRPr="00245C8F">
              <w:t>Среднегодовая деятельность гроз</w:t>
            </w:r>
          </w:p>
        </w:tc>
        <w:tc>
          <w:tcPr>
            <w:tcW w:w="2935" w:type="dxa"/>
            <w:vAlign w:val="center"/>
          </w:tcPr>
          <w:p w:rsidR="00245C8F" w:rsidRPr="00245C8F" w:rsidRDefault="00245C8F" w:rsidP="00245C8F">
            <w:pPr>
              <w:ind w:firstLine="0"/>
              <w:jc w:val="center"/>
            </w:pPr>
            <w:r w:rsidRPr="00245C8F">
              <w:t>Размер защищаемого объекта</w:t>
            </w:r>
          </w:p>
        </w:tc>
        <w:tc>
          <w:tcPr>
            <w:tcW w:w="2935" w:type="dxa"/>
            <w:vAlign w:val="center"/>
          </w:tcPr>
          <w:p w:rsidR="00245C8F" w:rsidRPr="00245C8F" w:rsidRDefault="00245C8F" w:rsidP="00245C8F">
            <w:pPr>
              <w:ind w:firstLine="0"/>
              <w:jc w:val="center"/>
            </w:pPr>
            <w:r w:rsidRPr="00245C8F">
              <w:t xml:space="preserve">№ п/п в табл. Тип зоны и категория </w:t>
            </w:r>
            <w:proofErr w:type="spellStart"/>
            <w:r w:rsidRPr="00245C8F">
              <w:t>молниезащиты</w:t>
            </w:r>
            <w:proofErr w:type="spellEnd"/>
            <w:r w:rsidRPr="00245C8F">
              <w:t xml:space="preserve"> зданий и сооружений</w:t>
            </w:r>
          </w:p>
        </w:tc>
      </w:tr>
      <w:tr w:rsidR="00245C8F" w:rsidRPr="002D1356" w:rsidTr="00245C8F">
        <w:tc>
          <w:tcPr>
            <w:tcW w:w="810" w:type="dxa"/>
            <w:vAlign w:val="center"/>
          </w:tcPr>
          <w:p w:rsidR="00245C8F" w:rsidRPr="00245C8F" w:rsidRDefault="00245C8F" w:rsidP="00245C8F">
            <w:pPr>
              <w:ind w:firstLine="0"/>
              <w:jc w:val="center"/>
            </w:pPr>
            <w:r w:rsidRPr="00245C8F">
              <w:t>3</w:t>
            </w:r>
          </w:p>
        </w:tc>
        <w:tc>
          <w:tcPr>
            <w:tcW w:w="2934" w:type="dxa"/>
            <w:vAlign w:val="center"/>
          </w:tcPr>
          <w:p w:rsidR="00245C8F" w:rsidRPr="00245C8F" w:rsidRDefault="00245C8F" w:rsidP="00245C8F">
            <w:pPr>
              <w:ind w:firstLine="0"/>
              <w:jc w:val="center"/>
            </w:pPr>
            <w:r w:rsidRPr="00245C8F">
              <w:t>50</w:t>
            </w:r>
          </w:p>
        </w:tc>
        <w:tc>
          <w:tcPr>
            <w:tcW w:w="2935" w:type="dxa"/>
            <w:vAlign w:val="center"/>
          </w:tcPr>
          <w:p w:rsidR="00245C8F" w:rsidRPr="00245C8F" w:rsidRDefault="00245C8F" w:rsidP="00245C8F">
            <w:pPr>
              <w:ind w:firstLine="0"/>
              <w:jc w:val="center"/>
            </w:pPr>
            <w:r w:rsidRPr="00245C8F">
              <w:rPr>
                <w:lang w:val="en-US"/>
              </w:rPr>
              <w:t>S=</w:t>
            </w:r>
            <w:r w:rsidRPr="00245C8F">
              <w:t>25</w:t>
            </w:r>
          </w:p>
          <w:p w:rsidR="00245C8F" w:rsidRPr="00245C8F" w:rsidRDefault="00245C8F" w:rsidP="00245C8F">
            <w:pPr>
              <w:ind w:firstLine="0"/>
              <w:jc w:val="center"/>
            </w:pPr>
            <w:r w:rsidRPr="00245C8F">
              <w:rPr>
                <w:lang w:val="en-US"/>
              </w:rPr>
              <w:t>L=</w:t>
            </w:r>
            <w:r w:rsidRPr="00245C8F">
              <w:t>40</w:t>
            </w:r>
          </w:p>
          <w:p w:rsidR="00245C8F" w:rsidRPr="00245C8F" w:rsidRDefault="00245C8F" w:rsidP="00245C8F">
            <w:pPr>
              <w:ind w:firstLine="0"/>
              <w:jc w:val="center"/>
            </w:pPr>
            <w:proofErr w:type="spellStart"/>
            <w:r w:rsidRPr="00245C8F">
              <w:rPr>
                <w:lang w:val="en-US"/>
              </w:rPr>
              <w:t>h</w:t>
            </w:r>
            <w:r w:rsidRPr="00245C8F">
              <w:rPr>
                <w:vertAlign w:val="subscript"/>
                <w:lang w:val="en-US"/>
              </w:rPr>
              <w:t>x</w:t>
            </w:r>
            <w:proofErr w:type="spellEnd"/>
            <w:r w:rsidRPr="00245C8F">
              <w:rPr>
                <w:lang w:val="en-US"/>
              </w:rPr>
              <w:t>=</w:t>
            </w:r>
            <w:r w:rsidRPr="00245C8F">
              <w:t>15</w:t>
            </w:r>
          </w:p>
        </w:tc>
        <w:tc>
          <w:tcPr>
            <w:tcW w:w="2935" w:type="dxa"/>
            <w:vAlign w:val="center"/>
          </w:tcPr>
          <w:p w:rsidR="00245C8F" w:rsidRPr="00245C8F" w:rsidRDefault="00245C8F" w:rsidP="00245C8F">
            <w:pPr>
              <w:ind w:firstLine="0"/>
              <w:jc w:val="center"/>
            </w:pPr>
            <w:r w:rsidRPr="00245C8F">
              <w:t>3</w:t>
            </w:r>
          </w:p>
        </w:tc>
      </w:tr>
    </w:tbl>
    <w:p w:rsidR="00245C8F" w:rsidRDefault="00245C8F"/>
    <w:p w:rsidR="00C3769E" w:rsidRPr="00311D0E" w:rsidRDefault="00245C8F">
      <w:r>
        <w:t>2. Проводим</w:t>
      </w:r>
      <w:r>
        <w:t xml:space="preserve"> расчет ожидаемого количества поражений</w:t>
      </w:r>
      <w:r w:rsidR="00311D0E">
        <w:t xml:space="preserve"> для здания прямоугольной формы:</w:t>
      </w:r>
    </w:p>
    <w:p w:rsidR="00311D0E" w:rsidRPr="00311D0E" w:rsidRDefault="00311D0E"/>
    <w:p w:rsidR="00311D0E" w:rsidRPr="00311D0E" w:rsidRDefault="00311D0E">
      <w:pPr>
        <w:rPr>
          <w:i/>
        </w:rPr>
      </w:pPr>
      <m:oMathPara>
        <m:oMath>
          <m:r>
            <w:rPr>
              <w:rFonts w:ascii="Cambria Math" w:hAnsi="Cambria Math"/>
            </w:rPr>
            <m:t>N=</m:t>
          </m:r>
          <m:d>
            <m:dPr>
              <m:begChr m:val="["/>
              <m:endChr m:val="]"/>
              <m:ctrlPr>
                <w:rPr>
                  <w:rFonts w:ascii="Cambria Math" w:hAnsi="Cambria Math"/>
                  <w:i/>
                </w:rPr>
              </m:ctrlPr>
            </m:dPr>
            <m:e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S+6∙h</m:t>
                  </m:r>
                </m:e>
              </m:d>
              <m:r>
                <w:rPr>
                  <w:rFonts w:ascii="Cambria Math" w:hAnsi="Cambria Math"/>
                </w:rPr>
                <m:t>∙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L+</m:t>
                  </m:r>
                  <m:r>
                    <w:rPr>
                      <w:rFonts w:ascii="Cambria Math" w:hAnsi="Cambria Math"/>
                    </w:rPr>
                    <m:t>6∙h</m:t>
                  </m:r>
                </m:e>
              </m:d>
              <m:r>
                <w:rPr>
                  <w:rFonts w:ascii="Cambria Math" w:hAnsi="Cambria Math"/>
                </w:rPr>
                <m:t>-7,7∙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h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e>
          </m:d>
          <m:r>
            <w:rPr>
              <w:rFonts w:ascii="Cambria Math" w:hAnsi="Cambria Math"/>
            </w:rPr>
            <m:t>∙n∙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10</m:t>
              </m:r>
            </m:e>
            <m:sup>
              <m:r>
                <w:rPr>
                  <w:rFonts w:ascii="Cambria Math" w:hAnsi="Cambria Math"/>
                </w:rPr>
                <m:t>-6</m:t>
              </m:r>
            </m:sup>
          </m:sSup>
          <m:r>
            <w:rPr>
              <w:rFonts w:ascii="Cambria Math" w:hAnsi="Cambria Math"/>
            </w:rPr>
            <m:t>=</m:t>
          </m:r>
          <m:d>
            <m:dPr>
              <m:begChr m:val="["/>
              <m:endChr m:val="]"/>
              <m:ctrlPr>
                <w:rPr>
                  <w:rFonts w:ascii="Cambria Math" w:hAnsi="Cambria Math"/>
                  <w:i/>
                </w:rPr>
              </m:ctrlPr>
            </m:dPr>
            <m:e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25</m:t>
                  </m:r>
                  <m:r>
                    <w:rPr>
                      <w:rFonts w:ascii="Cambria Math" w:hAnsi="Cambria Math"/>
                    </w:rPr>
                    <m:t>+6∙</m:t>
                  </m:r>
                  <m:r>
                    <w:rPr>
                      <w:rFonts w:ascii="Cambria Math" w:hAnsi="Cambria Math"/>
                    </w:rPr>
                    <m:t>15</m:t>
                  </m:r>
                </m:e>
              </m:d>
              <m:r>
                <w:rPr>
                  <w:rFonts w:ascii="Cambria Math" w:hAnsi="Cambria Math"/>
                </w:rPr>
                <m:t>∙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40</m:t>
                  </m:r>
                  <m:r>
                    <w:rPr>
                      <w:rFonts w:ascii="Cambria Math" w:hAnsi="Cambria Math"/>
                    </w:rPr>
                    <m:t>+6∙</m:t>
                  </m:r>
                  <m:r>
                    <w:rPr>
                      <w:rFonts w:ascii="Cambria Math" w:hAnsi="Cambria Math"/>
                    </w:rPr>
                    <m:t>15</m:t>
                  </m:r>
                </m:e>
              </m:d>
              <m:r>
                <w:rPr>
                  <w:rFonts w:ascii="Cambria Math" w:hAnsi="Cambria Math"/>
                </w:rPr>
                <m:t>-7,7∙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15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e>
          </m:d>
          <m:r>
            <w:rPr>
              <w:rFonts w:ascii="Cambria Math" w:hAnsi="Cambria Math"/>
            </w:rPr>
            <m:t>∙</m:t>
          </m:r>
          <m:r>
            <w:rPr>
              <w:rFonts w:ascii="Cambria Math" w:hAnsi="Cambria Math"/>
            </w:rPr>
            <m:t>4</m:t>
          </m:r>
          <m:r>
            <w:rPr>
              <w:rFonts w:ascii="Cambria Math" w:hAnsi="Cambria Math"/>
            </w:rPr>
            <m:t>∙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10</m:t>
              </m:r>
            </m:e>
            <m:sup>
              <m:r>
                <w:rPr>
                  <w:rFonts w:ascii="Cambria Math" w:hAnsi="Cambria Math"/>
                </w:rPr>
                <m:t>-6</m:t>
              </m:r>
            </m:sup>
          </m:sSup>
          <m:r>
            <w:rPr>
              <w:rFonts w:ascii="Cambria Math" w:hAnsi="Cambria Math"/>
            </w:rPr>
            <m:t>=</m:t>
          </m:r>
          <m:r>
            <w:rPr>
              <w:rFonts w:ascii="Cambria Math" w:hAnsi="Cambria Math"/>
            </w:rPr>
            <m:t>0,05</m:t>
          </m:r>
        </m:oMath>
      </m:oMathPara>
    </w:p>
    <w:p w:rsidR="00311D0E" w:rsidRDefault="00311D0E" w:rsidP="00311D0E">
      <w:pPr>
        <w:spacing w:line="360" w:lineRule="auto"/>
      </w:pPr>
    </w:p>
    <w:p w:rsidR="00311D0E" w:rsidRDefault="00311D0E" w:rsidP="008C032F">
      <w:r>
        <w:lastRenderedPageBreak/>
        <w:t xml:space="preserve">где </w:t>
      </w:r>
      <w:r w:rsidRPr="008C032F">
        <w:t>h</w:t>
      </w:r>
      <w:r>
        <w:t xml:space="preserve"> – наибольшая высота здания или сооружения, м;</w:t>
      </w:r>
    </w:p>
    <w:p w:rsidR="00311D0E" w:rsidRDefault="00311D0E" w:rsidP="008C032F">
      <w:r w:rsidRPr="008C032F">
        <w:t>S</w:t>
      </w:r>
      <w:r>
        <w:t xml:space="preserve">, </w:t>
      </w:r>
      <w:r w:rsidRPr="008C032F">
        <w:t>L</w:t>
      </w:r>
      <w:r>
        <w:t xml:space="preserve"> – соответственно ширина и длина здания или сооружения, м;</w:t>
      </w:r>
    </w:p>
    <w:p w:rsidR="00311D0E" w:rsidRDefault="00311D0E" w:rsidP="008C032F">
      <w:r w:rsidRPr="008C032F">
        <w:t>n</w:t>
      </w:r>
      <w:r>
        <w:t xml:space="preserve"> – среднегодовое число ударов молнии в 1 км</w:t>
      </w:r>
      <w:r w:rsidRPr="00ED4B37">
        <w:rPr>
          <w:vertAlign w:val="superscript"/>
        </w:rPr>
        <w:t>2</w:t>
      </w:r>
      <w:r>
        <w:t xml:space="preserve"> земной поверхности (удельная плотность ударов молнии в землю) в месте нахождения здания или сооружения.</w:t>
      </w:r>
    </w:p>
    <w:p w:rsidR="00311D0E" w:rsidRDefault="00311D0E" w:rsidP="008C032F">
      <w:r>
        <w:t xml:space="preserve">Для произвольного пункта на территории страны удельная плотность ударов молнии в землю </w:t>
      </w:r>
      <w:r w:rsidRPr="008C032F">
        <w:t>n</w:t>
      </w:r>
      <w:r>
        <w:t xml:space="preserve"> определяется исходя из среднегодовой продолжительности гроз в часах (берется по карте продолжител</w:t>
      </w:r>
      <w:r w:rsidR="009A137E">
        <w:t>ьности гроз) по таблице 1 Приложения.</w:t>
      </w:r>
    </w:p>
    <w:p w:rsidR="00E61AF1" w:rsidRDefault="00E61AF1" w:rsidP="008C032F">
      <w:r>
        <w:t>3. Из таблицы 2 Приложения определяем:</w:t>
      </w:r>
    </w:p>
    <w:p w:rsidR="008C032F" w:rsidRDefault="008C032F" w:rsidP="008C032F"/>
    <w:p w:rsidR="00E61AF1" w:rsidRDefault="00E61AF1" w:rsidP="008C032F">
      <w:pPr>
        <w:ind w:firstLine="0"/>
        <w:jc w:val="center"/>
      </w:pPr>
      <w:r>
        <w:object w:dxaOrig="9720" w:dyaOrig="20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5" type="#_x0000_t75" style="width:467.5pt;height:99pt" o:ole="">
            <v:imagedata r:id="rId5" o:title=""/>
          </v:shape>
          <o:OLEObject Type="Embed" ProgID="Paint.Picture" ShapeID="_x0000_i1035" DrawAspect="Content" ObjectID="_1701108708" r:id="rId6"/>
        </w:object>
      </w:r>
    </w:p>
    <w:p w:rsidR="008C032F" w:rsidRDefault="008C032F" w:rsidP="00577FD0"/>
    <w:p w:rsidR="00271722" w:rsidRPr="00271722" w:rsidRDefault="00E61AF1" w:rsidP="00577FD0">
      <w:r>
        <w:t xml:space="preserve">4. </w:t>
      </w:r>
      <w:r w:rsidR="00271722" w:rsidRPr="00271722">
        <w:t>Защита от прямых ударов молнии зданий и сооружений II категории с неметаллической кровлей должна быть выполнена отдельно стоящими или установленными на защищаемом объекте стержневыми или тросовыми молниеотводами.</w:t>
      </w:r>
    </w:p>
    <w:p w:rsidR="009112D9" w:rsidRDefault="009112D9" w:rsidP="00577FD0">
      <w:r>
        <w:t>Определим</w:t>
      </w:r>
      <w:r w:rsidR="00271722">
        <w:t xml:space="preserve"> радиус защиты на высоте защищаемого здания </w:t>
      </w:r>
      <w:r>
        <w:t>используя теорему Пифагора:</w:t>
      </w:r>
    </w:p>
    <w:p w:rsidR="009112D9" w:rsidRDefault="009112D9" w:rsidP="00577FD0"/>
    <w:p w:rsidR="00271722" w:rsidRPr="009112D9" w:rsidRDefault="009112D9" w:rsidP="00577FD0">
      <w:pPr>
        <w:rPr>
          <w:i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r</m:t>
              </m:r>
            </m:e>
            <m:sub>
              <m:r>
                <w:rPr>
                  <w:rFonts w:ascii="Cambria Math" w:hAnsi="Cambria Math"/>
                </w:rPr>
                <m:t>x</m:t>
              </m:r>
            </m:sub>
          </m:sSub>
          <m:r>
            <w:rPr>
              <w:rFonts w:ascii="Cambria Math" w:hAnsi="Cambria Math"/>
            </w:rPr>
            <m:t>=0,5∙</m:t>
          </m:r>
          <m:rad>
            <m:radPr>
              <m:degHide m:val="1"/>
              <m:ctrlPr>
                <w:rPr>
                  <w:rFonts w:ascii="Cambria Math" w:hAnsi="Cambria Math"/>
                  <w:i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S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w:rPr>
                  <w:rFonts w:ascii="Cambria Math" w:hAnsi="Cambria Math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L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e>
          </m:rad>
          <m:r>
            <w:rPr>
              <w:rFonts w:ascii="Cambria Math" w:hAnsi="Cambria Math"/>
            </w:rPr>
            <m:t>=</m:t>
          </m:r>
          <m:r>
            <w:rPr>
              <w:rFonts w:ascii="Cambria Math" w:hAnsi="Cambria Math"/>
            </w:rPr>
            <m:t>0,5∙</m:t>
          </m:r>
          <m:rad>
            <m:radPr>
              <m:degHide m:val="1"/>
              <m:ctrlPr>
                <w:rPr>
                  <w:rFonts w:ascii="Cambria Math" w:hAnsi="Cambria Math"/>
                  <w:i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25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w:rPr>
                  <w:rFonts w:ascii="Cambria Math" w:hAnsi="Cambria Math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40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e>
          </m:rad>
          <m:r>
            <w:rPr>
              <w:rFonts w:ascii="Cambria Math" w:hAnsi="Cambria Math"/>
            </w:rPr>
            <m:t>=23,58</m:t>
          </m:r>
          <m:r>
            <w:rPr>
              <w:rFonts w:ascii="Cambria Math" w:hAnsi="Cambria Math"/>
            </w:rPr>
            <m:t>≈24</m:t>
          </m:r>
          <m:r>
            <w:rPr>
              <w:rFonts w:ascii="Cambria Math" w:hAnsi="Cambria Math"/>
            </w:rPr>
            <m:t xml:space="preserve"> м</m:t>
          </m:r>
        </m:oMath>
      </m:oMathPara>
    </w:p>
    <w:p w:rsidR="009112D9" w:rsidRDefault="009112D9" w:rsidP="00577FD0"/>
    <w:p w:rsidR="009112D9" w:rsidRDefault="009112D9" w:rsidP="00577FD0">
      <w:r>
        <w:t xml:space="preserve">где </w:t>
      </w:r>
      <w:r>
        <w:rPr>
          <w:lang w:val="en-US"/>
        </w:rPr>
        <w:t>S</w:t>
      </w:r>
      <w:r>
        <w:t xml:space="preserve">, </w:t>
      </w:r>
      <w:r>
        <w:rPr>
          <w:lang w:val="en-US"/>
        </w:rPr>
        <w:t>L</w:t>
      </w:r>
      <w:r>
        <w:t xml:space="preserve"> – соответственно ширина и длина здания или сооружения, м;</w:t>
      </w:r>
    </w:p>
    <w:p w:rsidR="00271722" w:rsidRDefault="009112D9" w:rsidP="00577FD0">
      <w:r>
        <w:t>Д</w:t>
      </w:r>
      <w:r>
        <w:t xml:space="preserve">ля зоны Б высота одиночного стержневого молниеотвода при известных значениях </w:t>
      </w:r>
      <w:proofErr w:type="spellStart"/>
      <w:r>
        <w:t>h</w:t>
      </w:r>
      <w:r w:rsidRPr="009112D9">
        <w:rPr>
          <w:vertAlign w:val="subscript"/>
        </w:rPr>
        <w:t>x</w:t>
      </w:r>
      <w:proofErr w:type="spellEnd"/>
      <w:r w:rsidRPr="009112D9">
        <w:rPr>
          <w:vertAlign w:val="subscript"/>
        </w:rPr>
        <w:t xml:space="preserve"> </w:t>
      </w:r>
      <w:r>
        <w:t xml:space="preserve">и </w:t>
      </w:r>
      <w:proofErr w:type="spellStart"/>
      <w:r>
        <w:rPr>
          <w:lang w:val="en-US"/>
        </w:rPr>
        <w:t>r</w:t>
      </w:r>
      <w:r w:rsidRPr="009112D9">
        <w:rPr>
          <w:vertAlign w:val="subscript"/>
          <w:lang w:val="en-US"/>
        </w:rPr>
        <w:t>x</w:t>
      </w:r>
      <w:proofErr w:type="spellEnd"/>
      <w:r>
        <w:t xml:space="preserve"> определяется</w:t>
      </w:r>
      <w:r>
        <w:t xml:space="preserve"> </w:t>
      </w:r>
      <w:bookmarkStart w:id="0" w:name="_GoBack"/>
      <w:bookmarkEnd w:id="0"/>
      <w:r>
        <w:t>по формуле</w:t>
      </w:r>
      <w:r>
        <w:t>:</w:t>
      </w:r>
    </w:p>
    <w:p w:rsidR="009112D9" w:rsidRDefault="009112D9" w:rsidP="00577FD0"/>
    <w:p w:rsidR="009112D9" w:rsidRPr="009112D9" w:rsidRDefault="009112D9" w:rsidP="00577FD0">
      <w:pPr>
        <w:rPr>
          <w:i/>
        </w:rPr>
      </w:pPr>
      <m:oMathPara>
        <m:oMath>
          <m:r>
            <w:rPr>
              <w:rFonts w:ascii="Cambria Math" w:hAnsi="Cambria Math"/>
            </w:rPr>
            <m:t>h=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r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x</m:t>
                      </m:r>
                    </m:sub>
                  </m:sSub>
                  <m:r>
                    <w:rPr>
                      <w:rFonts w:ascii="Cambria Math" w:hAnsi="Cambria Math"/>
                    </w:rPr>
                    <m:t>+1,63∙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h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x</m:t>
                      </m:r>
                    </m:sub>
                  </m:sSub>
                </m:e>
              </m:d>
            </m:num>
            <m:den>
              <m:r>
                <w:rPr>
                  <w:rFonts w:ascii="Cambria Math" w:hAnsi="Cambria Math"/>
                </w:rPr>
                <m:t>1,5</m:t>
              </m:r>
            </m:den>
          </m:f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23,58+1,63∙15</m:t>
              </m:r>
            </m:num>
            <m:den>
              <m:r>
                <w:rPr>
                  <w:rFonts w:ascii="Cambria Math" w:hAnsi="Cambria Math"/>
                </w:rPr>
                <m:t>1,5</m:t>
              </m:r>
            </m:den>
          </m:f>
          <m:r>
            <w:rPr>
              <w:rFonts w:ascii="Cambria Math" w:hAnsi="Cambria Math"/>
            </w:rPr>
            <m:t>=32,02</m:t>
          </m:r>
          <m:r>
            <w:rPr>
              <w:rFonts w:ascii="Cambria Math" w:hAnsi="Cambria Math"/>
            </w:rPr>
            <m:t>≈32</m:t>
          </m:r>
          <m:r>
            <w:rPr>
              <w:rFonts w:ascii="Cambria Math" w:hAnsi="Cambria Math"/>
            </w:rPr>
            <m:t xml:space="preserve"> м</m:t>
          </m:r>
        </m:oMath>
      </m:oMathPara>
    </w:p>
    <w:p w:rsidR="009112D9" w:rsidRDefault="009112D9" w:rsidP="00577FD0"/>
    <w:p w:rsidR="009112D9" w:rsidRDefault="009112D9" w:rsidP="00577FD0">
      <w:r>
        <w:t xml:space="preserve">где </w:t>
      </w:r>
      <w:proofErr w:type="spellStart"/>
      <w:r>
        <w:rPr>
          <w:lang w:val="en-US"/>
        </w:rPr>
        <w:t>r</w:t>
      </w:r>
      <w:r w:rsidRPr="009112D9">
        <w:rPr>
          <w:vertAlign w:val="subscript"/>
          <w:lang w:val="en-US"/>
        </w:rPr>
        <w:t>x</w:t>
      </w:r>
      <w:proofErr w:type="spellEnd"/>
      <w:r>
        <w:t xml:space="preserve"> </w:t>
      </w:r>
      <w:r>
        <w:t>– радиус защиты</w:t>
      </w:r>
      <w:r w:rsidR="00C554A5">
        <w:t xml:space="preserve"> </w:t>
      </w:r>
      <w:r w:rsidR="00C554A5">
        <w:t xml:space="preserve">на высоте защищаемого </w:t>
      </w:r>
      <w:r w:rsidR="00C554A5">
        <w:t>сооружения, м;</w:t>
      </w:r>
    </w:p>
    <w:p w:rsidR="00271722" w:rsidRDefault="009112D9" w:rsidP="00577FD0">
      <w:proofErr w:type="spellStart"/>
      <w:r>
        <w:t>h</w:t>
      </w:r>
      <w:r w:rsidRPr="009112D9">
        <w:rPr>
          <w:vertAlign w:val="subscript"/>
        </w:rPr>
        <w:t>x</w:t>
      </w:r>
      <w:proofErr w:type="spellEnd"/>
      <w:r w:rsidRPr="009112D9">
        <w:rPr>
          <w:vertAlign w:val="subscript"/>
        </w:rPr>
        <w:t xml:space="preserve"> </w:t>
      </w:r>
      <w:r w:rsidR="00C554A5">
        <w:t xml:space="preserve">– высота </w:t>
      </w:r>
      <w:r w:rsidR="00C554A5">
        <w:t xml:space="preserve">защищаемого </w:t>
      </w:r>
      <w:r w:rsidR="00C554A5">
        <w:t>сооружения, м.</w:t>
      </w:r>
    </w:p>
    <w:p w:rsidR="00C554A5" w:rsidRDefault="00C554A5" w:rsidP="00577FD0">
      <w:r>
        <w:t>Зону защиты на уровне земли рассчитаем по формуле</w:t>
      </w:r>
      <w:r>
        <w:t>:</w:t>
      </w:r>
    </w:p>
    <w:p w:rsidR="00C554A5" w:rsidRDefault="00C554A5" w:rsidP="00577FD0"/>
    <w:p w:rsidR="00C554A5" w:rsidRPr="00C554A5" w:rsidRDefault="00C554A5" w:rsidP="00577FD0">
      <w:pPr>
        <w:rPr>
          <w:i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r</m:t>
              </m:r>
            </m:e>
            <m:sub>
              <m:r>
                <w:rPr>
                  <w:rFonts w:ascii="Cambria Math" w:hAnsi="Cambria Math"/>
                </w:rPr>
                <m:t>0</m:t>
              </m:r>
            </m:sub>
          </m:sSub>
          <m:r>
            <w:rPr>
              <w:rFonts w:ascii="Cambria Math" w:hAnsi="Cambria Math"/>
            </w:rPr>
            <m:t>=1,5∙h=1,5∙32,02=48,03</m:t>
          </m:r>
          <m:r>
            <w:rPr>
              <w:rFonts w:ascii="Cambria Math" w:hAnsi="Cambria Math"/>
            </w:rPr>
            <m:t>≈48</m:t>
          </m:r>
          <m:r>
            <w:rPr>
              <w:rFonts w:ascii="Cambria Math" w:hAnsi="Cambria Math"/>
            </w:rPr>
            <m:t xml:space="preserve"> м</m:t>
          </m:r>
        </m:oMath>
      </m:oMathPara>
    </w:p>
    <w:p w:rsidR="00271722" w:rsidRPr="00271722" w:rsidRDefault="00271722" w:rsidP="00577FD0"/>
    <w:p w:rsidR="00577FD0" w:rsidRDefault="00577FD0" w:rsidP="00577FD0">
      <w:r>
        <w:t xml:space="preserve">где </w:t>
      </w:r>
      <w:r>
        <w:rPr>
          <w:lang w:val="en-US"/>
        </w:rPr>
        <w:t>h</w:t>
      </w:r>
      <w:r w:rsidRPr="00577FD0">
        <w:t xml:space="preserve"> – </w:t>
      </w:r>
      <w:r>
        <w:t xml:space="preserve">высота </w:t>
      </w:r>
      <w:r>
        <w:t>одиночного стержневого молниеотвода</w:t>
      </w:r>
      <w:r>
        <w:t>.</w:t>
      </w:r>
    </w:p>
    <w:p w:rsidR="00577FD0" w:rsidRDefault="00577FD0" w:rsidP="00577FD0"/>
    <w:p w:rsidR="00577FD0" w:rsidRPr="00C554A5" w:rsidRDefault="00577FD0" w:rsidP="00577FD0">
      <w:pPr>
        <w:rPr>
          <w:i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h</m:t>
              </m:r>
            </m:e>
            <m:sub>
              <m:r>
                <w:rPr>
                  <w:rFonts w:ascii="Cambria Math" w:hAnsi="Cambria Math"/>
                </w:rPr>
                <m:t>0</m:t>
              </m:r>
            </m:sub>
          </m:sSub>
          <m:r>
            <w:rPr>
              <w:rFonts w:ascii="Cambria Math" w:hAnsi="Cambria Math"/>
            </w:rPr>
            <m:t>=</m:t>
          </m:r>
          <m:r>
            <w:rPr>
              <w:rFonts w:ascii="Cambria Math" w:hAnsi="Cambria Math"/>
            </w:rPr>
            <m:t>0</m:t>
          </m:r>
          <m:r>
            <w:rPr>
              <w:rFonts w:ascii="Cambria Math" w:hAnsi="Cambria Math"/>
            </w:rPr>
            <m:t>,</m:t>
          </m:r>
          <m:r>
            <w:rPr>
              <w:rFonts w:ascii="Cambria Math" w:hAnsi="Cambria Math"/>
            </w:rPr>
            <m:t>9</m:t>
          </m:r>
          <m:r>
            <w:rPr>
              <w:rFonts w:ascii="Cambria Math" w:hAnsi="Cambria Math"/>
            </w:rPr>
            <m:t>5∙h</m:t>
          </m:r>
          <m:r>
            <w:rPr>
              <w:rFonts w:ascii="Cambria Math" w:hAnsi="Cambria Math"/>
            </w:rPr>
            <m:t>=0,95</m:t>
          </m:r>
          <m:r>
            <w:rPr>
              <w:rFonts w:ascii="Cambria Math" w:hAnsi="Cambria Math"/>
            </w:rPr>
            <m:t>∙</m:t>
          </m:r>
          <m:r>
            <w:rPr>
              <w:rFonts w:ascii="Cambria Math" w:hAnsi="Cambria Math"/>
            </w:rPr>
            <m:t>32,02=30,4</m:t>
          </m:r>
          <m:r>
            <w:rPr>
              <w:rFonts w:ascii="Cambria Math" w:hAnsi="Cambria Math"/>
            </w:rPr>
            <m:t>≈</m:t>
          </m:r>
          <m:r>
            <w:rPr>
              <w:rFonts w:ascii="Cambria Math" w:hAnsi="Cambria Math"/>
            </w:rPr>
            <m:t>30</m:t>
          </m:r>
          <m:r>
            <w:rPr>
              <w:rFonts w:ascii="Cambria Math" w:hAnsi="Cambria Math"/>
            </w:rPr>
            <m:t xml:space="preserve"> м</m:t>
          </m:r>
        </m:oMath>
      </m:oMathPara>
    </w:p>
    <w:p w:rsidR="00577FD0" w:rsidRDefault="00577FD0" w:rsidP="00577FD0">
      <w:r>
        <w:t xml:space="preserve">где </w:t>
      </w:r>
      <w:r>
        <w:rPr>
          <w:lang w:val="en-US"/>
        </w:rPr>
        <w:t>h</w:t>
      </w:r>
      <w:r w:rsidRPr="00577FD0">
        <w:t xml:space="preserve"> – </w:t>
      </w:r>
      <w:r>
        <w:t>высота одиночного стержневого молниеотвода.</w:t>
      </w:r>
    </w:p>
    <w:p w:rsidR="00271722" w:rsidRDefault="00C554A5" w:rsidP="00577FD0">
      <w:r>
        <w:lastRenderedPageBreak/>
        <w:t xml:space="preserve">Из расчетов можно сделать заключение, что для защиты сооружения достаточно </w:t>
      </w:r>
      <w:r w:rsidR="008C032F">
        <w:t>одного стержневого молниеотвода, установленного на самом объекте высотой 32 м.</w:t>
      </w:r>
    </w:p>
    <w:p w:rsidR="00577FD0" w:rsidRDefault="00577FD0" w:rsidP="00577FD0">
      <w:r>
        <w:t xml:space="preserve">5. Приведем </w:t>
      </w:r>
      <w:r>
        <w:t>графическое построение зоны защиты мо</w:t>
      </w:r>
      <w:r>
        <w:t>лниеотвода рассчитанной высоты.</w:t>
      </w:r>
    </w:p>
    <w:p w:rsidR="007E73CF" w:rsidRDefault="007E73CF" w:rsidP="00577FD0"/>
    <w:p w:rsidR="00C3769E" w:rsidRDefault="007E73CF" w:rsidP="007E73CF">
      <w:pPr>
        <w:ind w:firstLine="0"/>
        <w:jc w:val="center"/>
      </w:pPr>
      <w:r>
        <w:object w:dxaOrig="4480" w:dyaOrig="5830">
          <v:shape id="_x0000_i1048" type="#_x0000_t75" style="width:292pt;height:380pt" o:ole="">
            <v:imagedata r:id="rId7" o:title=""/>
          </v:shape>
          <o:OLEObject Type="Embed" ProgID="Paint.Picture" ShapeID="_x0000_i1048" DrawAspect="Content" ObjectID="_1701108709" r:id="rId8"/>
        </w:object>
      </w:r>
    </w:p>
    <w:p w:rsidR="007E73CF" w:rsidRDefault="007E73CF">
      <w:r>
        <w:t xml:space="preserve">Рисунок 1 – </w:t>
      </w:r>
      <w:r>
        <w:t xml:space="preserve">Зона защиты одиночного стержневого молниеотвода: </w:t>
      </w:r>
    </w:p>
    <w:p w:rsidR="007E73CF" w:rsidRDefault="007E73CF">
      <w:r>
        <w:t xml:space="preserve">1 </w:t>
      </w:r>
      <w:r>
        <w:t>–</w:t>
      </w:r>
      <w:r>
        <w:t xml:space="preserve"> граница зоны защиты на высоте защищаемого сооружения</w:t>
      </w:r>
      <w:r>
        <w:t>;</w:t>
      </w:r>
    </w:p>
    <w:p w:rsidR="00C3769E" w:rsidRDefault="007E73CF">
      <w:r>
        <w:t xml:space="preserve">2 </w:t>
      </w:r>
      <w:r>
        <w:t>–</w:t>
      </w:r>
      <w:r>
        <w:t xml:space="preserve"> граница зоны защиты</w:t>
      </w:r>
      <w:r>
        <w:t xml:space="preserve"> сооружения </w:t>
      </w:r>
      <w:r>
        <w:t>на уровне земли</w:t>
      </w:r>
      <w:r>
        <w:t>.</w:t>
      </w:r>
    </w:p>
    <w:p w:rsidR="00C3769E" w:rsidRDefault="00C3769E"/>
    <w:p w:rsidR="00C3769E" w:rsidRDefault="00C3769E"/>
    <w:p w:rsidR="00C3769E" w:rsidRDefault="00C3769E"/>
    <w:p w:rsidR="00C3769E" w:rsidRDefault="00C3769E"/>
    <w:p w:rsidR="00C3769E" w:rsidRDefault="00C3769E"/>
    <w:p w:rsidR="00C3769E" w:rsidRDefault="00C3769E"/>
    <w:p w:rsidR="00C3769E" w:rsidRDefault="00C3769E"/>
    <w:p w:rsidR="00C3769E" w:rsidRDefault="00C3769E"/>
    <w:p w:rsidR="00C3769E" w:rsidRDefault="00C3769E"/>
    <w:p w:rsidR="00C3769E" w:rsidRDefault="00C3769E"/>
    <w:p w:rsidR="00666750" w:rsidRDefault="00666750">
      <w:pPr>
        <w:spacing w:after="160" w:line="259" w:lineRule="auto"/>
        <w:ind w:firstLine="0"/>
        <w:jc w:val="left"/>
      </w:pPr>
      <w:r>
        <w:br w:type="page"/>
      </w:r>
    </w:p>
    <w:p w:rsidR="00C3769E" w:rsidRPr="00311D0E" w:rsidRDefault="00311D0E" w:rsidP="00311D0E">
      <w:pPr>
        <w:jc w:val="center"/>
        <w:rPr>
          <w:b/>
        </w:rPr>
      </w:pPr>
      <w:r>
        <w:rPr>
          <w:b/>
        </w:rPr>
        <w:lastRenderedPageBreak/>
        <w:t>Приложения</w:t>
      </w:r>
    </w:p>
    <w:p w:rsidR="00311D0E" w:rsidRDefault="00311D0E"/>
    <w:p w:rsidR="00311D0E" w:rsidRDefault="00311D0E"/>
    <w:p w:rsidR="00311D0E" w:rsidRDefault="00311D0E" w:rsidP="00311D0E">
      <w:pPr>
        <w:spacing w:line="360" w:lineRule="auto"/>
        <w:jc w:val="right"/>
      </w:pPr>
      <w:r>
        <w:t>Таблица 1</w:t>
      </w:r>
    </w:p>
    <w:p w:rsidR="00311D0E" w:rsidRDefault="00311D0E" w:rsidP="00311D0E">
      <w:pPr>
        <w:spacing w:line="360" w:lineRule="auto"/>
        <w:jc w:val="center"/>
      </w:pPr>
      <w:r>
        <w:t>Удельная плотность ударов молнии в землю</w:t>
      </w:r>
    </w:p>
    <w:tbl>
      <w:tblPr>
        <w:tblW w:w="9283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00"/>
        <w:gridCol w:w="1080"/>
        <w:gridCol w:w="1320"/>
        <w:gridCol w:w="1200"/>
        <w:gridCol w:w="1200"/>
        <w:gridCol w:w="1200"/>
        <w:gridCol w:w="1183"/>
      </w:tblGrid>
      <w:tr w:rsidR="00311D0E" w:rsidTr="00FF6648">
        <w:tc>
          <w:tcPr>
            <w:tcW w:w="2100" w:type="dxa"/>
            <w:vAlign w:val="center"/>
          </w:tcPr>
          <w:p w:rsidR="00311D0E" w:rsidRDefault="00311D0E" w:rsidP="00FF6648">
            <w:pPr>
              <w:ind w:firstLine="0"/>
              <w:jc w:val="center"/>
            </w:pPr>
            <w:r>
              <w:t>Среднегодовая деятельность гроз, ч</w:t>
            </w:r>
          </w:p>
        </w:tc>
        <w:tc>
          <w:tcPr>
            <w:tcW w:w="1080" w:type="dxa"/>
            <w:vAlign w:val="center"/>
          </w:tcPr>
          <w:p w:rsidR="00311D0E" w:rsidRDefault="00311D0E" w:rsidP="00FF6648">
            <w:pPr>
              <w:ind w:firstLine="0"/>
              <w:jc w:val="center"/>
            </w:pPr>
            <w:r>
              <w:t>10-20</w:t>
            </w:r>
          </w:p>
        </w:tc>
        <w:tc>
          <w:tcPr>
            <w:tcW w:w="1320" w:type="dxa"/>
            <w:vAlign w:val="center"/>
          </w:tcPr>
          <w:p w:rsidR="00311D0E" w:rsidRDefault="00311D0E" w:rsidP="00FF6648">
            <w:pPr>
              <w:ind w:firstLine="0"/>
              <w:jc w:val="center"/>
            </w:pPr>
            <w:r>
              <w:t>20-40</w:t>
            </w:r>
          </w:p>
        </w:tc>
        <w:tc>
          <w:tcPr>
            <w:tcW w:w="1200" w:type="dxa"/>
            <w:vAlign w:val="center"/>
          </w:tcPr>
          <w:p w:rsidR="00311D0E" w:rsidRDefault="00311D0E" w:rsidP="00FF6648">
            <w:pPr>
              <w:ind w:firstLine="0"/>
              <w:jc w:val="center"/>
            </w:pPr>
            <w:r>
              <w:t>40-60</w:t>
            </w:r>
          </w:p>
        </w:tc>
        <w:tc>
          <w:tcPr>
            <w:tcW w:w="1200" w:type="dxa"/>
            <w:vAlign w:val="center"/>
          </w:tcPr>
          <w:p w:rsidR="00311D0E" w:rsidRDefault="00311D0E" w:rsidP="00FF6648">
            <w:pPr>
              <w:ind w:firstLine="0"/>
              <w:jc w:val="center"/>
            </w:pPr>
            <w:r>
              <w:t>60-80</w:t>
            </w:r>
          </w:p>
        </w:tc>
        <w:tc>
          <w:tcPr>
            <w:tcW w:w="1200" w:type="dxa"/>
            <w:vAlign w:val="center"/>
          </w:tcPr>
          <w:p w:rsidR="00311D0E" w:rsidRDefault="00311D0E" w:rsidP="00FF6648">
            <w:pPr>
              <w:ind w:firstLine="0"/>
              <w:jc w:val="center"/>
            </w:pPr>
            <w:r>
              <w:t>80-100</w:t>
            </w:r>
          </w:p>
        </w:tc>
        <w:tc>
          <w:tcPr>
            <w:tcW w:w="1183" w:type="dxa"/>
            <w:vAlign w:val="center"/>
          </w:tcPr>
          <w:p w:rsidR="00311D0E" w:rsidRDefault="00311D0E" w:rsidP="00FF6648">
            <w:pPr>
              <w:ind w:firstLine="0"/>
              <w:jc w:val="center"/>
            </w:pPr>
            <w:r>
              <w:t>100 и более</w:t>
            </w:r>
          </w:p>
        </w:tc>
      </w:tr>
      <w:tr w:rsidR="00311D0E" w:rsidTr="00FF6648">
        <w:trPr>
          <w:trHeight w:val="1639"/>
        </w:trPr>
        <w:tc>
          <w:tcPr>
            <w:tcW w:w="2100" w:type="dxa"/>
            <w:vAlign w:val="center"/>
          </w:tcPr>
          <w:p w:rsidR="00311D0E" w:rsidRDefault="00311D0E" w:rsidP="00FF6648">
            <w:pPr>
              <w:ind w:firstLine="0"/>
              <w:jc w:val="center"/>
            </w:pPr>
            <w:r>
              <w:t xml:space="preserve">Удельная плотность ударов молний в землю, </w:t>
            </w:r>
            <w:r>
              <w:rPr>
                <w:lang w:val="en-US"/>
              </w:rPr>
              <w:t>n</w:t>
            </w:r>
            <w:r>
              <w:t xml:space="preserve"> 1/(км</w:t>
            </w:r>
            <w:r>
              <w:rPr>
                <w:vertAlign w:val="superscript"/>
              </w:rPr>
              <w:t>2</w:t>
            </w:r>
            <w:r>
              <w:t xml:space="preserve"> год)</w:t>
            </w:r>
          </w:p>
        </w:tc>
        <w:tc>
          <w:tcPr>
            <w:tcW w:w="1080" w:type="dxa"/>
            <w:vAlign w:val="center"/>
          </w:tcPr>
          <w:p w:rsidR="00311D0E" w:rsidRDefault="00311D0E" w:rsidP="00FF6648">
            <w:pPr>
              <w:ind w:firstLine="0"/>
              <w:jc w:val="center"/>
            </w:pPr>
            <w:r>
              <w:t>1</w:t>
            </w:r>
          </w:p>
        </w:tc>
        <w:tc>
          <w:tcPr>
            <w:tcW w:w="1320" w:type="dxa"/>
            <w:vAlign w:val="center"/>
          </w:tcPr>
          <w:p w:rsidR="00311D0E" w:rsidRDefault="00311D0E" w:rsidP="00FF6648">
            <w:pPr>
              <w:ind w:firstLine="0"/>
              <w:jc w:val="center"/>
            </w:pPr>
            <w:r>
              <w:t>2</w:t>
            </w:r>
          </w:p>
        </w:tc>
        <w:tc>
          <w:tcPr>
            <w:tcW w:w="1200" w:type="dxa"/>
            <w:vAlign w:val="center"/>
          </w:tcPr>
          <w:p w:rsidR="00311D0E" w:rsidRDefault="00311D0E" w:rsidP="00FF6648">
            <w:pPr>
              <w:ind w:firstLine="0"/>
              <w:jc w:val="center"/>
            </w:pPr>
            <w:r>
              <w:t>4</w:t>
            </w:r>
          </w:p>
        </w:tc>
        <w:tc>
          <w:tcPr>
            <w:tcW w:w="1200" w:type="dxa"/>
            <w:vAlign w:val="center"/>
          </w:tcPr>
          <w:p w:rsidR="00311D0E" w:rsidRDefault="00311D0E" w:rsidP="00FF6648">
            <w:pPr>
              <w:ind w:firstLine="0"/>
              <w:jc w:val="center"/>
            </w:pPr>
            <w:r>
              <w:t>5,5</w:t>
            </w:r>
          </w:p>
        </w:tc>
        <w:tc>
          <w:tcPr>
            <w:tcW w:w="1200" w:type="dxa"/>
            <w:vAlign w:val="center"/>
          </w:tcPr>
          <w:p w:rsidR="00311D0E" w:rsidRDefault="00311D0E" w:rsidP="00FF6648">
            <w:pPr>
              <w:ind w:firstLine="0"/>
              <w:jc w:val="center"/>
            </w:pPr>
            <w:r>
              <w:t>7</w:t>
            </w:r>
          </w:p>
        </w:tc>
        <w:tc>
          <w:tcPr>
            <w:tcW w:w="1183" w:type="dxa"/>
            <w:vAlign w:val="center"/>
          </w:tcPr>
          <w:p w:rsidR="00311D0E" w:rsidRDefault="00311D0E" w:rsidP="00FF6648">
            <w:pPr>
              <w:ind w:firstLine="0"/>
              <w:jc w:val="center"/>
            </w:pPr>
            <w:r>
              <w:t>8,5</w:t>
            </w:r>
          </w:p>
        </w:tc>
      </w:tr>
    </w:tbl>
    <w:p w:rsidR="00311D0E" w:rsidRDefault="00311D0E" w:rsidP="00311D0E"/>
    <w:p w:rsidR="00311D0E" w:rsidRDefault="00311D0E" w:rsidP="00311D0E"/>
    <w:p w:rsidR="00311D0E" w:rsidRDefault="00311D0E"/>
    <w:p w:rsidR="00C3769E" w:rsidRDefault="00C3769E"/>
    <w:p w:rsidR="00C3769E" w:rsidRDefault="00C3769E"/>
    <w:p w:rsidR="00C3769E" w:rsidRDefault="00C3769E"/>
    <w:p w:rsidR="00C3769E" w:rsidRDefault="00C3769E"/>
    <w:p w:rsidR="00C3769E" w:rsidRDefault="00C3769E"/>
    <w:p w:rsidR="00C3769E" w:rsidRDefault="00C3769E"/>
    <w:p w:rsidR="00C3769E" w:rsidRDefault="00C3769E"/>
    <w:p w:rsidR="00C3769E" w:rsidRDefault="00C3769E"/>
    <w:p w:rsidR="00C3769E" w:rsidRDefault="00C3769E"/>
    <w:p w:rsidR="00C3769E" w:rsidRDefault="00C3769E"/>
    <w:p w:rsidR="00C3769E" w:rsidRDefault="00C3769E"/>
    <w:p w:rsidR="00C3769E" w:rsidRDefault="00C3769E"/>
    <w:p w:rsidR="00C3769E" w:rsidRDefault="00C3769E"/>
    <w:p w:rsidR="00C3769E" w:rsidRDefault="00C3769E"/>
    <w:p w:rsidR="00C3769E" w:rsidRDefault="00C3769E"/>
    <w:p w:rsidR="00C3769E" w:rsidRDefault="00C3769E"/>
    <w:p w:rsidR="00C3769E" w:rsidRDefault="00C3769E"/>
    <w:p w:rsidR="00C3769E" w:rsidRDefault="00C3769E"/>
    <w:p w:rsidR="00666750" w:rsidRDefault="00666750"/>
    <w:p w:rsidR="00666750" w:rsidRDefault="00666750"/>
    <w:p w:rsidR="00C3769E" w:rsidRDefault="00C3769E"/>
    <w:p w:rsidR="00C3769E" w:rsidRDefault="00C3769E"/>
    <w:p w:rsidR="00C3769E" w:rsidRDefault="00C3769E"/>
    <w:p w:rsidR="00C3769E" w:rsidRDefault="00C3769E"/>
    <w:p w:rsidR="00C3769E" w:rsidRDefault="00C3769E"/>
    <w:p w:rsidR="00C3769E" w:rsidRDefault="00C3769E"/>
    <w:p w:rsidR="00C3769E" w:rsidRDefault="00C3769E"/>
    <w:p w:rsidR="00C3769E" w:rsidRDefault="00C3769E"/>
    <w:p w:rsidR="00C3769E" w:rsidRDefault="00C3769E" w:rsidP="00C3769E">
      <w:pPr>
        <w:spacing w:line="360" w:lineRule="auto"/>
        <w:jc w:val="right"/>
      </w:pPr>
      <w:r>
        <w:lastRenderedPageBreak/>
        <w:t>Таблица 2</w:t>
      </w:r>
    </w:p>
    <w:p w:rsidR="00C3769E" w:rsidRDefault="00C3769E" w:rsidP="00C3769E">
      <w:pPr>
        <w:jc w:val="center"/>
      </w:pPr>
      <w:r>
        <w:t xml:space="preserve">Тип зоны и категория </w:t>
      </w:r>
      <w:proofErr w:type="spellStart"/>
      <w:r>
        <w:t>молниезащиты</w:t>
      </w:r>
      <w:proofErr w:type="spellEnd"/>
      <w:r>
        <w:t xml:space="preserve"> зданий и сооружений</w:t>
      </w:r>
    </w:p>
    <w:p w:rsidR="00C3769E" w:rsidRDefault="00C3769E" w:rsidP="00C3769E"/>
    <w:p w:rsidR="00C3769E" w:rsidRDefault="00666750" w:rsidP="00666750">
      <w:pPr>
        <w:ind w:firstLine="0"/>
        <w:jc w:val="center"/>
      </w:pPr>
      <w:r>
        <w:object w:dxaOrig="10040" w:dyaOrig="14090">
          <v:shape id="_x0000_i1028" type="#_x0000_t75" style="width:467.5pt;height:656pt" o:ole="">
            <v:imagedata r:id="rId9" o:title=""/>
          </v:shape>
          <o:OLEObject Type="Embed" ProgID="Paint.Picture" ShapeID="_x0000_i1028" DrawAspect="Content" ObjectID="_1701108710" r:id="rId10"/>
        </w:object>
      </w:r>
    </w:p>
    <w:p w:rsidR="00C3769E" w:rsidRDefault="00C3769E" w:rsidP="00C3769E"/>
    <w:p w:rsidR="00C3769E" w:rsidRDefault="00BF74B8" w:rsidP="00BF74B8">
      <w:pPr>
        <w:ind w:firstLine="0"/>
        <w:jc w:val="center"/>
      </w:pPr>
      <w:r>
        <w:object w:dxaOrig="9030" w:dyaOrig="12620">
          <v:shape id="_x0000_i1030" type="#_x0000_t75" style="width:468.5pt;height:655pt" o:ole="">
            <v:imagedata r:id="rId11" o:title=""/>
          </v:shape>
          <o:OLEObject Type="Embed" ProgID="Paint.Picture" ShapeID="_x0000_i1030" DrawAspect="Content" ObjectID="_1701108711" r:id="rId12"/>
        </w:object>
      </w:r>
    </w:p>
    <w:p w:rsidR="00C3769E" w:rsidRDefault="00C3769E" w:rsidP="00C3769E"/>
    <w:p w:rsidR="00C3769E" w:rsidRDefault="00C3769E" w:rsidP="00C3769E"/>
    <w:p w:rsidR="00C3769E" w:rsidRDefault="00C3769E" w:rsidP="00C3769E"/>
    <w:sectPr w:rsidR="00C3769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LazurskiCTT">
    <w:altName w:val="Times New Roman"/>
    <w:charset w:val="00"/>
    <w:family w:val="auto"/>
    <w:pitch w:val="variable"/>
    <w:sig w:usb0="00000001" w:usb1="00000000" w:usb2="00000000" w:usb3="00000000" w:csb0="00000005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9485161"/>
    <w:multiLevelType w:val="singleLevel"/>
    <w:tmpl w:val="5ECACBB6"/>
    <w:lvl w:ilvl="0">
      <w:start w:val="1"/>
      <w:numFmt w:val="decimal"/>
      <w:pStyle w:val="a"/>
      <w:lvlText w:val="%1."/>
      <w:lvlJc w:val="left"/>
      <w:pPr>
        <w:tabs>
          <w:tab w:val="num" w:pos="0"/>
        </w:tabs>
        <w:ind w:left="567" w:hanging="567"/>
      </w:pPr>
      <w:rPr>
        <w:b/>
        <w:i w:val="0"/>
      </w:rPr>
    </w:lvl>
  </w:abstractNum>
  <w:abstractNum w:abstractNumId="1" w15:restartNumberingAfterBreak="0">
    <w:nsid w:val="6CBB1DDB"/>
    <w:multiLevelType w:val="singleLevel"/>
    <w:tmpl w:val="88A6CE54"/>
    <w:lvl w:ilvl="0">
      <w:start w:val="1"/>
      <w:numFmt w:val="bullet"/>
      <w:pStyle w:val="a0"/>
      <w:lvlText w:val="-"/>
      <w:lvlJc w:val="left"/>
      <w:pPr>
        <w:tabs>
          <w:tab w:val="num" w:pos="1097"/>
        </w:tabs>
        <w:ind w:left="1021" w:hanging="284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02CB"/>
    <w:rsid w:val="00245C8F"/>
    <w:rsid w:val="00271722"/>
    <w:rsid w:val="00311D0E"/>
    <w:rsid w:val="00577FD0"/>
    <w:rsid w:val="00666750"/>
    <w:rsid w:val="006B60A1"/>
    <w:rsid w:val="006D02CB"/>
    <w:rsid w:val="007D1870"/>
    <w:rsid w:val="007E73CF"/>
    <w:rsid w:val="008C032F"/>
    <w:rsid w:val="009112D9"/>
    <w:rsid w:val="009A137E"/>
    <w:rsid w:val="00A4085B"/>
    <w:rsid w:val="00A66165"/>
    <w:rsid w:val="00B61D3C"/>
    <w:rsid w:val="00BF74B8"/>
    <w:rsid w:val="00C3769E"/>
    <w:rsid w:val="00C554A5"/>
    <w:rsid w:val="00CD7076"/>
    <w:rsid w:val="00CE253B"/>
    <w:rsid w:val="00CF0CD2"/>
    <w:rsid w:val="00D32D0D"/>
    <w:rsid w:val="00D94127"/>
    <w:rsid w:val="00E61AF1"/>
    <w:rsid w:val="00E6312D"/>
    <w:rsid w:val="00ED4B37"/>
    <w:rsid w:val="00F34F41"/>
    <w:rsid w:val="00F60B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1796C4"/>
  <w15:chartTrackingRefBased/>
  <w15:docId w15:val="{8262F6F4-3A5F-4EEA-B04E-5B40A8C7E8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b/>
        <w:sz w:val="28"/>
        <w:szCs w:val="28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  <w:rsid w:val="00A66165"/>
    <w:pPr>
      <w:spacing w:after="0" w:line="240" w:lineRule="auto"/>
      <w:ind w:firstLine="709"/>
      <w:jc w:val="both"/>
    </w:pPr>
    <w:rPr>
      <w:b w:val="0"/>
    </w:rPr>
  </w:style>
  <w:style w:type="paragraph" w:styleId="1">
    <w:name w:val="heading 1"/>
    <w:basedOn w:val="a1"/>
    <w:next w:val="a1"/>
    <w:link w:val="10"/>
    <w:uiPriority w:val="9"/>
    <w:qFormat/>
    <w:rsid w:val="00D94127"/>
    <w:pPr>
      <w:keepNext/>
      <w:keepLines/>
      <w:jc w:val="center"/>
      <w:outlineLvl w:val="0"/>
    </w:pPr>
    <w:rPr>
      <w:rFonts w:eastAsiaTheme="majorEastAsia" w:cstheme="majorBidi"/>
      <w:b/>
      <w:szCs w:val="32"/>
    </w:rPr>
  </w:style>
  <w:style w:type="paragraph" w:styleId="2">
    <w:name w:val="heading 2"/>
    <w:basedOn w:val="a1"/>
    <w:next w:val="a1"/>
    <w:link w:val="20"/>
    <w:uiPriority w:val="9"/>
    <w:semiHidden/>
    <w:unhideWhenUsed/>
    <w:qFormat/>
    <w:rsid w:val="00D94127"/>
    <w:pPr>
      <w:keepNext/>
      <w:keepLines/>
      <w:jc w:val="center"/>
      <w:outlineLvl w:val="1"/>
    </w:pPr>
    <w:rPr>
      <w:rFonts w:eastAsiaTheme="majorEastAsia" w:cstheme="majorBidi"/>
      <w:b/>
      <w:szCs w:val="26"/>
    </w:rPr>
  </w:style>
  <w:style w:type="paragraph" w:styleId="5">
    <w:name w:val="heading 5"/>
    <w:basedOn w:val="a1"/>
    <w:next w:val="a1"/>
    <w:link w:val="50"/>
    <w:uiPriority w:val="9"/>
    <w:semiHidden/>
    <w:unhideWhenUsed/>
    <w:qFormat/>
    <w:rsid w:val="00F34F41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0">
    <w:name w:val="Заголовок 1 Знак"/>
    <w:basedOn w:val="a2"/>
    <w:link w:val="1"/>
    <w:uiPriority w:val="9"/>
    <w:rsid w:val="00D94127"/>
    <w:rPr>
      <w:rFonts w:ascii="Times New Roman" w:eastAsiaTheme="majorEastAsia" w:hAnsi="Times New Roman" w:cstheme="majorBidi"/>
      <w:b w:val="0"/>
      <w:sz w:val="28"/>
      <w:szCs w:val="32"/>
    </w:rPr>
  </w:style>
  <w:style w:type="character" w:customStyle="1" w:styleId="20">
    <w:name w:val="Заголовок 2 Знак"/>
    <w:basedOn w:val="a2"/>
    <w:link w:val="2"/>
    <w:uiPriority w:val="9"/>
    <w:semiHidden/>
    <w:rsid w:val="00D94127"/>
    <w:rPr>
      <w:rFonts w:ascii="Times New Roman" w:eastAsiaTheme="majorEastAsia" w:hAnsi="Times New Roman" w:cstheme="majorBidi"/>
      <w:b w:val="0"/>
      <w:sz w:val="28"/>
      <w:szCs w:val="26"/>
    </w:rPr>
  </w:style>
  <w:style w:type="paragraph" w:customStyle="1" w:styleId="a5">
    <w:basedOn w:val="a1"/>
    <w:next w:val="a6"/>
    <w:link w:val="a7"/>
    <w:qFormat/>
    <w:rsid w:val="00A66165"/>
    <w:pPr>
      <w:tabs>
        <w:tab w:val="left" w:pos="1701"/>
      </w:tabs>
      <w:spacing w:before="240" w:after="60" w:line="288" w:lineRule="auto"/>
      <w:ind w:firstLine="0"/>
      <w:jc w:val="center"/>
    </w:pPr>
    <w:rPr>
      <w:rFonts w:ascii="LazurskiCTT" w:eastAsia="Times New Roman" w:hAnsi="LazurskiCTT"/>
      <w:b/>
      <w:i/>
      <w:kern w:val="28"/>
      <w:sz w:val="44"/>
      <w:szCs w:val="20"/>
      <w:lang w:eastAsia="ru-RU"/>
    </w:rPr>
  </w:style>
  <w:style w:type="character" w:customStyle="1" w:styleId="a7">
    <w:name w:val="Название Знак"/>
    <w:link w:val="a5"/>
    <w:rsid w:val="00A66165"/>
    <w:rPr>
      <w:rFonts w:ascii="LazurskiCTT" w:eastAsia="Times New Roman" w:hAnsi="LazurskiCTT" w:cs="Times New Roman"/>
      <w:b/>
      <w:i/>
      <w:kern w:val="28"/>
      <w:sz w:val="44"/>
      <w:szCs w:val="20"/>
      <w:lang w:eastAsia="ru-RU"/>
    </w:rPr>
  </w:style>
  <w:style w:type="paragraph" w:styleId="a6">
    <w:name w:val="Title"/>
    <w:basedOn w:val="a1"/>
    <w:next w:val="a1"/>
    <w:link w:val="a8"/>
    <w:uiPriority w:val="10"/>
    <w:qFormat/>
    <w:rsid w:val="00A66165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8">
    <w:name w:val="Заголовок Знак"/>
    <w:basedOn w:val="a2"/>
    <w:link w:val="a6"/>
    <w:uiPriority w:val="10"/>
    <w:rsid w:val="00A66165"/>
    <w:rPr>
      <w:rFonts w:asciiTheme="majorHAnsi" w:eastAsiaTheme="majorEastAsia" w:hAnsiTheme="majorHAnsi" w:cstheme="majorBidi"/>
      <w:b w:val="0"/>
      <w:spacing w:val="-10"/>
      <w:kern w:val="28"/>
      <w:sz w:val="56"/>
      <w:szCs w:val="56"/>
    </w:rPr>
  </w:style>
  <w:style w:type="paragraph" w:styleId="a9">
    <w:name w:val="List"/>
    <w:basedOn w:val="a1"/>
    <w:rsid w:val="00A66165"/>
    <w:pPr>
      <w:tabs>
        <w:tab w:val="left" w:pos="1701"/>
      </w:tabs>
      <w:spacing w:before="60" w:after="60" w:line="288" w:lineRule="auto"/>
      <w:ind w:left="567" w:hanging="567"/>
    </w:pPr>
    <w:rPr>
      <w:rFonts w:eastAsia="Times New Roman"/>
      <w:i/>
      <w:sz w:val="22"/>
      <w:szCs w:val="20"/>
      <w:lang w:eastAsia="ru-RU"/>
    </w:rPr>
  </w:style>
  <w:style w:type="paragraph" w:styleId="a0">
    <w:name w:val="List Bullet"/>
    <w:basedOn w:val="a9"/>
    <w:rsid w:val="00E6312D"/>
    <w:pPr>
      <w:numPr>
        <w:numId w:val="1"/>
      </w:numPr>
      <w:tabs>
        <w:tab w:val="clear" w:pos="1097"/>
        <w:tab w:val="num" w:pos="567"/>
      </w:tabs>
      <w:ind w:left="567" w:hanging="141"/>
    </w:pPr>
    <w:rPr>
      <w:sz w:val="20"/>
    </w:rPr>
  </w:style>
  <w:style w:type="paragraph" w:customStyle="1" w:styleId="a">
    <w:name w:val="Порядок"/>
    <w:basedOn w:val="a1"/>
    <w:rsid w:val="00E6312D"/>
    <w:pPr>
      <w:numPr>
        <w:numId w:val="2"/>
      </w:numPr>
      <w:tabs>
        <w:tab w:val="clear" w:pos="0"/>
        <w:tab w:val="left" w:pos="426"/>
        <w:tab w:val="left" w:pos="1701"/>
      </w:tabs>
      <w:spacing w:before="60" w:after="60" w:line="288" w:lineRule="auto"/>
      <w:ind w:left="426" w:hanging="426"/>
    </w:pPr>
    <w:rPr>
      <w:rFonts w:eastAsia="Times New Roman"/>
      <w:sz w:val="20"/>
      <w:szCs w:val="20"/>
      <w:lang w:eastAsia="ru-RU"/>
    </w:rPr>
  </w:style>
  <w:style w:type="paragraph" w:styleId="aa">
    <w:name w:val="List Paragraph"/>
    <w:basedOn w:val="a1"/>
    <w:uiPriority w:val="34"/>
    <w:qFormat/>
    <w:rsid w:val="00E6312D"/>
    <w:pPr>
      <w:ind w:left="720"/>
      <w:contextualSpacing/>
    </w:pPr>
  </w:style>
  <w:style w:type="character" w:customStyle="1" w:styleId="50">
    <w:name w:val="Заголовок 5 Знак"/>
    <w:basedOn w:val="a2"/>
    <w:link w:val="5"/>
    <w:uiPriority w:val="9"/>
    <w:semiHidden/>
    <w:rsid w:val="00F34F41"/>
    <w:rPr>
      <w:rFonts w:asciiTheme="majorHAnsi" w:eastAsiaTheme="majorEastAsia" w:hAnsiTheme="majorHAnsi" w:cstheme="majorBidi"/>
      <w:b w:val="0"/>
      <w:color w:val="2F5496" w:themeColor="accent1" w:themeShade="BF"/>
    </w:rPr>
  </w:style>
  <w:style w:type="paragraph" w:styleId="11">
    <w:name w:val="toc 1"/>
    <w:basedOn w:val="a1"/>
    <w:next w:val="a1"/>
    <w:semiHidden/>
    <w:rsid w:val="007D1870"/>
    <w:pPr>
      <w:tabs>
        <w:tab w:val="right" w:leader="dot" w:pos="6293"/>
      </w:tabs>
      <w:spacing w:before="60" w:after="60" w:line="288" w:lineRule="auto"/>
      <w:ind w:firstLine="0"/>
    </w:pPr>
    <w:rPr>
      <w:rFonts w:eastAsia="Times New Roman"/>
      <w:sz w:val="20"/>
      <w:szCs w:val="20"/>
      <w:lang w:eastAsia="ru-RU"/>
    </w:rPr>
  </w:style>
  <w:style w:type="paragraph" w:customStyle="1" w:styleId="ab">
    <w:name w:val="Формула"/>
    <w:basedOn w:val="a1"/>
    <w:rsid w:val="007D1870"/>
    <w:pPr>
      <w:tabs>
        <w:tab w:val="left" w:pos="5103"/>
      </w:tabs>
      <w:spacing w:before="60" w:after="60" w:line="288" w:lineRule="auto"/>
      <w:ind w:firstLine="0"/>
      <w:jc w:val="center"/>
    </w:pPr>
    <w:rPr>
      <w:rFonts w:eastAsia="Times New Roman"/>
      <w:sz w:val="20"/>
      <w:szCs w:val="20"/>
      <w:lang w:eastAsia="ru-RU"/>
    </w:rPr>
  </w:style>
  <w:style w:type="paragraph" w:customStyle="1" w:styleId="ac">
    <w:name w:val="Табл.Заголовок"/>
    <w:basedOn w:val="a1"/>
    <w:rsid w:val="007D1870"/>
    <w:pPr>
      <w:tabs>
        <w:tab w:val="left" w:pos="1701"/>
      </w:tabs>
      <w:spacing w:before="120" w:after="60" w:line="288" w:lineRule="auto"/>
      <w:ind w:firstLine="0"/>
      <w:jc w:val="center"/>
    </w:pPr>
    <w:rPr>
      <w:rFonts w:eastAsia="Times New Roman"/>
      <w:b/>
      <w:sz w:val="20"/>
      <w:szCs w:val="20"/>
      <w:lang w:eastAsia="ru-RU"/>
    </w:rPr>
  </w:style>
  <w:style w:type="paragraph" w:styleId="21">
    <w:name w:val="Body Text Indent 2"/>
    <w:basedOn w:val="a1"/>
    <w:link w:val="22"/>
    <w:uiPriority w:val="99"/>
    <w:rsid w:val="00C3769E"/>
    <w:pPr>
      <w:spacing w:line="360" w:lineRule="auto"/>
    </w:pPr>
    <w:rPr>
      <w:rFonts w:eastAsia="Times New Roman"/>
      <w:lang w:eastAsia="ru-RU"/>
    </w:rPr>
  </w:style>
  <w:style w:type="character" w:customStyle="1" w:styleId="22">
    <w:name w:val="Основной текст с отступом 2 Знак"/>
    <w:basedOn w:val="a2"/>
    <w:link w:val="21"/>
    <w:uiPriority w:val="99"/>
    <w:rsid w:val="00C3769E"/>
    <w:rPr>
      <w:rFonts w:eastAsia="Times New Roman"/>
      <w:b w:val="0"/>
      <w:lang w:eastAsia="ru-RU"/>
    </w:rPr>
  </w:style>
  <w:style w:type="character" w:styleId="ad">
    <w:name w:val="Placeholder Text"/>
    <w:basedOn w:val="a2"/>
    <w:uiPriority w:val="99"/>
    <w:semiHidden/>
    <w:rsid w:val="00311D0E"/>
    <w:rPr>
      <w:color w:val="808080"/>
    </w:rPr>
  </w:style>
  <w:style w:type="paragraph" w:styleId="ae">
    <w:name w:val="Normal (Web)"/>
    <w:basedOn w:val="a1"/>
    <w:uiPriority w:val="99"/>
    <w:semiHidden/>
    <w:unhideWhenUsed/>
    <w:rsid w:val="00271722"/>
    <w:pPr>
      <w:spacing w:before="100" w:beforeAutospacing="1" w:after="100" w:afterAutospacing="1"/>
      <w:ind w:firstLine="0"/>
      <w:jc w:val="left"/>
    </w:pPr>
    <w:rPr>
      <w:rFonts w:eastAsia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8930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oleObject" Target="embeddings/oleObject4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0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6</Pages>
  <Words>587</Words>
  <Characters>3347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Dmitrieva Alena</dc:creator>
  <cp:keywords/>
  <dc:description/>
  <cp:lastModifiedBy>Dmitrieva Alena</cp:lastModifiedBy>
  <cp:revision>13</cp:revision>
  <dcterms:created xsi:type="dcterms:W3CDTF">2021-12-14T15:37:00Z</dcterms:created>
  <dcterms:modified xsi:type="dcterms:W3CDTF">2021-12-15T18:25:00Z</dcterms:modified>
</cp:coreProperties>
</file>